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2470" w:tblpY="2183"/>
        <w:tblOverlap w:val="never"/>
        <w:tblW w:w="7068" w:type="dxa"/>
        <w:tblLayout w:type="fixed"/>
        <w:tblCellMar>
          <w:top w:w="45" w:type="dxa"/>
          <w:left w:w="96" w:type="dxa"/>
          <w:bottom w:w="45" w:type="dxa"/>
          <w:right w:w="96" w:type="dxa"/>
        </w:tblCellMar>
        <w:tblLook w:val="04A0" w:firstRow="1" w:lastRow="0" w:firstColumn="1" w:lastColumn="0" w:noHBand="0" w:noVBand="1"/>
      </w:tblPr>
      <w:tblGrid>
        <w:gridCol w:w="2282"/>
        <w:gridCol w:w="1177"/>
        <w:gridCol w:w="1177"/>
        <w:gridCol w:w="1547"/>
        <w:gridCol w:w="885"/>
      </w:tblGrid>
      <w:tr w:rsidR="00895F40" w14:paraId="5D9D77CA" w14:textId="77777777" w:rsidTr="00F660BD">
        <w:tc>
          <w:tcPr>
            <w:tcW w:w="228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3044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Characteristic</w:t>
            </w:r>
          </w:p>
        </w:tc>
        <w:tc>
          <w:tcPr>
            <w:tcW w:w="11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152FB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 xml:space="preserve">Observation </w:t>
            </w:r>
          </w:p>
          <w:p w14:paraId="4C9C1936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(n = 214)</w:t>
            </w:r>
          </w:p>
        </w:tc>
        <w:tc>
          <w:tcPr>
            <w:tcW w:w="11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3BC207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 xml:space="preserve">Control </w:t>
            </w:r>
          </w:p>
          <w:p w14:paraId="26FCBAE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(n = 60)</w:t>
            </w:r>
          </w:p>
        </w:tc>
        <w:tc>
          <w:tcPr>
            <w:tcW w:w="154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D2436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Test</w:t>
            </w: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B8653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P value</w:t>
            </w:r>
          </w:p>
        </w:tc>
      </w:tr>
      <w:tr w:rsidR="00895F40" w14:paraId="3E5C7416" w14:textId="77777777" w:rsidTr="00F660BD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959EB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Age, years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FF0B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61.8 ± 5.4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685D3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62.1 ± 5.1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D52A0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Welch’s t-test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545E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0.72</w:t>
            </w:r>
          </w:p>
        </w:tc>
      </w:tr>
      <w:tr w:rsidR="00895F40" w14:paraId="69AA4D71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49438CC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Age band, 50–59 / 60–70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E1E20CD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92 / 122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322D03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26 / 34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12B644A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test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57A5D3B6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0.88</w:t>
            </w:r>
          </w:p>
        </w:tc>
      </w:tr>
      <w:tr w:rsidR="00895F40" w14:paraId="1814119B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2EC5236B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Sex, male/female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AFFD350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126 / 88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F360D8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35 / 25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47BEBFE5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test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2E42ADD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0.74</w:t>
            </w:r>
          </w:p>
        </w:tc>
      </w:tr>
      <w:tr w:rsidR="00895F40" w14:paraId="0BAF1A90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2E955D2D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BMI, kg/m²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23888B8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25.8 ± 3.6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CA401B8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25.5 ±</w:t>
            </w: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 xml:space="preserve"> 3.4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2F090A1E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Welch’s t-test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1D4D5BDE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0.61</w:t>
            </w:r>
          </w:p>
        </w:tc>
      </w:tr>
      <w:tr w:rsidR="00895F40" w14:paraId="754CD578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432F68A2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Education, years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FB2C316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12 [9–16]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359CA6F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12 [10–16]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5D53E691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Mann–Whitney U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0E887FEE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0.69</w:t>
            </w:r>
          </w:p>
        </w:tc>
      </w:tr>
      <w:tr w:rsidR="00895F40" w14:paraId="73F66B78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3274C55D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Education strata, low / mid / high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61A0C31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64 / 96 / 54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0E41C908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18 / 28 / 14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01B69FBC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test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3F940567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0.93</w:t>
            </w:r>
          </w:p>
        </w:tc>
      </w:tr>
      <w:tr w:rsidR="00895F40" w14:paraId="107BA672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5FBB932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MMSE total (screening)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4B89844F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27.3 ± 1.5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CDA5330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28.6 ± 0.8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551480D3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Welch’s t-test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2DE46807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&lt;0.001</w:t>
            </w:r>
          </w:p>
        </w:tc>
      </w:tr>
      <w:tr w:rsidR="00895F40" w14:paraId="7678D00E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0BAE979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Hypertension, n (%)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FA18F51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 xml:space="preserve">118 </w:t>
            </w: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(55.1%)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3B567C41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31 (51.7%)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4701778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or Fisher’s exact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3F5EA8B9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0.62</w:t>
            </w:r>
          </w:p>
        </w:tc>
      </w:tr>
      <w:tr w:rsidR="00895F40" w14:paraId="6517A452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185283E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Diabetes, n (%)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E526F46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46 (21.5%)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05E4247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11 (18.3%)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0887887E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or Fisher’s exact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7FB86066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0.57</w:t>
            </w:r>
          </w:p>
        </w:tc>
      </w:tr>
      <w:tr w:rsidR="00895F40" w14:paraId="5B74D720" w14:textId="77777777" w:rsidTr="00F660BD">
        <w:tc>
          <w:tcPr>
            <w:tcW w:w="2282" w:type="dxa"/>
            <w:shd w:val="clear" w:color="auto" w:fill="auto"/>
            <w:noWrap/>
            <w:vAlign w:val="center"/>
          </w:tcPr>
          <w:p w14:paraId="4F425E70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Hyperlipidemia, n (%)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41EC989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102 (47.7%)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A7DD98C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27 (45.0%)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6FE14EFB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or Fisher’s exact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183C92AA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0.69</w:t>
            </w:r>
          </w:p>
        </w:tc>
      </w:tr>
      <w:tr w:rsidR="00895F40" w14:paraId="33098CF4" w14:textId="77777777" w:rsidTr="00F660BD">
        <w:tc>
          <w:tcPr>
            <w:tcW w:w="2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ED77834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Smoking, current, n (%)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3DD5F3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58 (27.1%)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8548B0E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15 (25.0%)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522533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χ² or Fisher’s exact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5E42167" w14:textId="77777777" w:rsidR="00895F40" w:rsidRDefault="00077E93">
            <w:pP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</w:rPr>
            </w:pPr>
            <w:r>
              <w:rPr>
                <w:rFonts w:ascii="Arial" w:eastAsia="Tahoma" w:hAnsi="Arial" w:cs="Arial"/>
                <w:color w:val="262626"/>
                <w:sz w:val="15"/>
                <w:szCs w:val="15"/>
                <w:shd w:val="clear" w:color="auto" w:fill="FFFFFF"/>
                <w:lang w:bidi="ar"/>
              </w:rPr>
              <w:t>0.73</w:t>
            </w:r>
          </w:p>
        </w:tc>
      </w:tr>
    </w:tbl>
    <w:p w14:paraId="44DB669E" w14:textId="33800E6E" w:rsidR="00895F40" w:rsidRPr="00F660BD" w:rsidRDefault="00F660BD" w:rsidP="00F660BD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660BD">
        <w:rPr>
          <w:rFonts w:ascii="Times New Roman" w:hAnsi="Times New Roman" w:cs="Times New Roman"/>
          <w:b/>
          <w:sz w:val="21"/>
          <w:szCs w:val="21"/>
        </w:rPr>
        <w:t xml:space="preserve">Supplementary Table 1. </w:t>
      </w:r>
      <w:r w:rsidR="00077E93" w:rsidRPr="00F660BD">
        <w:rPr>
          <w:rFonts w:ascii="Times New Roman" w:eastAsia="Tahoma" w:hAnsi="Times New Roman" w:cs="Times New Roman"/>
          <w:b/>
          <w:color w:val="262626"/>
          <w:sz w:val="21"/>
          <w:szCs w:val="21"/>
          <w:shd w:val="clear" w:color="auto" w:fill="FFFFFF"/>
        </w:rPr>
        <w:t>Baseline characteristics</w:t>
      </w:r>
      <w:r>
        <w:rPr>
          <w:rFonts w:ascii="Times New Roman" w:eastAsia="Tahoma" w:hAnsi="Times New Roman" w:cs="Times New Roman"/>
          <w:b/>
          <w:color w:val="262626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895F40" w:rsidRPr="00F660BD">
      <w:pgSz w:w="12240" w:h="15840"/>
      <w:pgMar w:top="1440" w:right="1800" w:bottom="1440" w:left="1800" w:header="720" w:footer="720" w:gutter="0"/>
      <w:pgNumType w:start="1"/>
      <w:cols w:space="0"/>
      <w:docGrid w:type="linesAndChars" w:linePitch="433" w:charSpace="102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A">
      <wne:fci wne:fciName="Help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9C4B5" w14:textId="77777777" w:rsidR="00077E93" w:rsidRDefault="00077E93" w:rsidP="00F660BD">
      <w:r>
        <w:separator/>
      </w:r>
    </w:p>
  </w:endnote>
  <w:endnote w:type="continuationSeparator" w:id="0">
    <w:p w14:paraId="6D32EA88" w14:textId="77777777" w:rsidR="00077E93" w:rsidRDefault="00077E93" w:rsidP="00F6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814C4" w14:textId="77777777" w:rsidR="00077E93" w:rsidRDefault="00077E93" w:rsidP="00F660BD">
      <w:r>
        <w:separator/>
      </w:r>
    </w:p>
  </w:footnote>
  <w:footnote w:type="continuationSeparator" w:id="0">
    <w:p w14:paraId="32545DF8" w14:textId="77777777" w:rsidR="00077E93" w:rsidRDefault="00077E93" w:rsidP="00F66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7C67E1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1C2AF7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708DF8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966649A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CCE27C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600144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0ECC03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A5C306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1422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98E77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DF285F"/>
    <w:multiLevelType w:val="multilevel"/>
    <w:tmpl w:val="10DF285F"/>
    <w:lvl w:ilvl="0">
      <w:start w:val="1"/>
      <w:numFmt w:val="chineseCounting"/>
      <w:pStyle w:val="1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isLgl/>
      <w:lvlText w:val="%2."/>
      <w:lvlJc w:val="left"/>
      <w:pPr>
        <w:tabs>
          <w:tab w:val="left" w:pos="420"/>
        </w:tabs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pStyle w:val="7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40"/>
    <w:rsid w:val="00077E93"/>
    <w:rsid w:val="00895F40"/>
    <w:rsid w:val="00F660BD"/>
    <w:rsid w:val="13C70351"/>
    <w:rsid w:val="144A0D0E"/>
    <w:rsid w:val="251B137A"/>
    <w:rsid w:val="68186986"/>
    <w:rsid w:val="6A554DF2"/>
    <w:rsid w:val="7239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36579D"/>
  <w15:docId w15:val="{2EB8FCF0-FB8C-43DD-B9D1-544F9AB4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="宋体"/>
      <w:sz w:val="18"/>
      <w:szCs w:val="18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numPr>
        <w:ilvl w:val="2"/>
        <w:numId w:val="1"/>
      </w:numPr>
      <w:adjustRightInd w:val="0"/>
      <w:snapToGrid w:val="0"/>
      <w:spacing w:before="120" w:after="120"/>
      <w:ind w:left="0" w:firstLine="0"/>
      <w:outlineLvl w:val="2"/>
    </w:pPr>
    <w:rPr>
      <w:rFonts w:ascii="Times New Roman" w:eastAsia="黑体" w:hAnsi="Times New Roman" w:cs="Times New Roman"/>
      <w:sz w:val="24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qFormat/>
    <w:rPr>
      <w:rFonts w:ascii="Times New Roman" w:eastAsia="黑体" w:hAnsi="Times New Roman" w:cs="Times New Roman"/>
      <w:sz w:val="24"/>
    </w:rPr>
  </w:style>
  <w:style w:type="paragraph" w:styleId="a3">
    <w:name w:val="header"/>
    <w:basedOn w:val="a"/>
    <w:link w:val="a4"/>
    <w:rsid w:val="00F66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a4">
    <w:name w:val="页眉 字符"/>
    <w:basedOn w:val="a0"/>
    <w:link w:val="a3"/>
    <w:rsid w:val="00F660BD"/>
    <w:rPr>
      <w:rFonts w:asciiTheme="minorHAnsi" w:eastAsia="仿宋_GB2312" w:hAnsiTheme="minorHAnsi" w:cs="宋体"/>
      <w:sz w:val="18"/>
      <w:szCs w:val="18"/>
    </w:rPr>
  </w:style>
  <w:style w:type="paragraph" w:styleId="a5">
    <w:name w:val="footer"/>
    <w:basedOn w:val="a"/>
    <w:link w:val="a6"/>
    <w:rsid w:val="00F660BD"/>
    <w:pPr>
      <w:tabs>
        <w:tab w:val="center" w:pos="4153"/>
        <w:tab w:val="right" w:pos="8306"/>
      </w:tabs>
      <w:snapToGrid w:val="0"/>
      <w:jc w:val="left"/>
    </w:pPr>
  </w:style>
  <w:style w:type="character" w:customStyle="1" w:styleId="a6">
    <w:name w:val="页脚 字符"/>
    <w:basedOn w:val="a0"/>
    <w:link w:val="a5"/>
    <w:rsid w:val="00F660BD"/>
    <w:rPr>
      <w:rFonts w:asciiTheme="minorHAnsi" w:eastAsia="仿宋_GB2312" w:hAnsiTheme="minorHAns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86180</dc:creator>
  <cp:lastModifiedBy>cheryl</cp:lastModifiedBy>
  <cp:revision>2</cp:revision>
  <dcterms:created xsi:type="dcterms:W3CDTF">2024-10-06T11:48:00Z</dcterms:created>
  <dcterms:modified xsi:type="dcterms:W3CDTF">2025-11-25T05:22:00Z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4400C3D692F14ABB9F5BFA5B0534C877_12</vt:lpwstr>
  </property>
  <property fmtid="{D5CDD505-2E9C-101B-9397-08002B2CF9AE}" pid="4" name="KSOTemplateDocerSaveRecord">
    <vt:lpwstr>eyJoZGlkIjoiZTU0Y2RjZTA3MThkMDI3OWJjNWE5YzQ5NDdmYmQyZmEiLCJ1c2VySWQiOiIxNTkzMzAxMjkxIn0=</vt:lpwstr>
  </property>
</Properties>
</file>